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4AB25" w14:textId="6E59102B" w:rsidR="00B74931" w:rsidRDefault="00B74931">
      <w:bookmarkStart w:id="0" w:name="_GoBack"/>
      <w:bookmarkEnd w:id="0"/>
    </w:p>
    <w:p w14:paraId="66628238" w14:textId="77777777" w:rsidR="00B74931" w:rsidRPr="003509E7" w:rsidRDefault="00B74931" w:rsidP="00B74931">
      <w:pPr>
        <w:jc w:val="center"/>
        <w:rPr>
          <w:b/>
        </w:rPr>
      </w:pPr>
      <w:r>
        <w:rPr>
          <w:b/>
        </w:rPr>
        <w:t xml:space="preserve">2020 M. STACIONARE GYDYTŲ </w:t>
      </w:r>
      <w:r w:rsidRPr="003509E7">
        <w:rPr>
          <w:b/>
        </w:rPr>
        <w:t xml:space="preserve">PACIENTŲ PASITENKINIMO </w:t>
      </w:r>
      <w:r>
        <w:rPr>
          <w:b/>
        </w:rPr>
        <w:t xml:space="preserve">SUTEIKTŲ ASMENS SVEIKATOS PRIEŽIŪROS PASLAUGŲ KOKYBE, VERTINIMO </w:t>
      </w:r>
      <w:r w:rsidRPr="003509E7">
        <w:rPr>
          <w:b/>
        </w:rPr>
        <w:t xml:space="preserve">ATASKAITA </w:t>
      </w:r>
    </w:p>
    <w:p w14:paraId="70F596F1" w14:textId="77777777" w:rsidR="00B74931" w:rsidRPr="003509E7" w:rsidRDefault="00B74931" w:rsidP="00B74931">
      <w:pPr>
        <w:pStyle w:val="Betarp"/>
        <w:jc w:val="center"/>
        <w:rPr>
          <w:bCs/>
          <w:shd w:val="clear" w:color="auto" w:fill="FFFFFF"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605"/>
        <w:gridCol w:w="2659"/>
        <w:gridCol w:w="1190"/>
        <w:gridCol w:w="1444"/>
        <w:gridCol w:w="2057"/>
        <w:gridCol w:w="1679"/>
      </w:tblGrid>
      <w:tr w:rsidR="00B74931" w:rsidRPr="003509E7" w14:paraId="372B5866" w14:textId="77777777" w:rsidTr="00FF37E5">
        <w:tc>
          <w:tcPr>
            <w:tcW w:w="605" w:type="dxa"/>
            <w:vAlign w:val="center"/>
          </w:tcPr>
          <w:p w14:paraId="18AC8CEC" w14:textId="77777777" w:rsidR="00B74931" w:rsidRPr="003509E7" w:rsidRDefault="00B74931" w:rsidP="00FF37E5">
            <w:pPr>
              <w:pStyle w:val="Betarp"/>
              <w:jc w:val="center"/>
              <w:rPr>
                <w:b/>
              </w:rPr>
            </w:pPr>
            <w:r w:rsidRPr="003509E7">
              <w:rPr>
                <w:b/>
              </w:rPr>
              <w:t>Eil. Nr.</w:t>
            </w:r>
          </w:p>
        </w:tc>
        <w:tc>
          <w:tcPr>
            <w:tcW w:w="2659" w:type="dxa"/>
            <w:vAlign w:val="center"/>
          </w:tcPr>
          <w:p w14:paraId="2EA6E678" w14:textId="77777777" w:rsidR="00B74931" w:rsidRPr="003509E7" w:rsidRDefault="00B74931" w:rsidP="00FF37E5">
            <w:pPr>
              <w:pStyle w:val="Betarp"/>
              <w:jc w:val="center"/>
              <w:rPr>
                <w:b/>
              </w:rPr>
            </w:pPr>
            <w:r w:rsidRPr="003509E7">
              <w:rPr>
                <w:b/>
              </w:rPr>
              <w:t>Skyrius</w:t>
            </w:r>
          </w:p>
        </w:tc>
        <w:tc>
          <w:tcPr>
            <w:tcW w:w="1190" w:type="dxa"/>
            <w:vAlign w:val="center"/>
          </w:tcPr>
          <w:p w14:paraId="53E44DED" w14:textId="77777777" w:rsidR="00B74931" w:rsidRPr="003509E7" w:rsidRDefault="00B74931" w:rsidP="00FF37E5">
            <w:pPr>
              <w:pStyle w:val="Betarp"/>
              <w:jc w:val="center"/>
              <w:rPr>
                <w:b/>
              </w:rPr>
            </w:pPr>
            <w:r w:rsidRPr="003509E7">
              <w:rPr>
                <w:b/>
              </w:rPr>
              <w:t>Gydytų pacientų skaičius</w:t>
            </w:r>
          </w:p>
        </w:tc>
        <w:tc>
          <w:tcPr>
            <w:tcW w:w="1444" w:type="dxa"/>
            <w:vAlign w:val="center"/>
          </w:tcPr>
          <w:p w14:paraId="788E701C" w14:textId="77777777" w:rsidR="00B74931" w:rsidRPr="003509E7" w:rsidRDefault="00B74931" w:rsidP="00FF37E5">
            <w:pPr>
              <w:pStyle w:val="Betarp"/>
              <w:jc w:val="center"/>
              <w:rPr>
                <w:b/>
              </w:rPr>
            </w:pPr>
            <w:r w:rsidRPr="003509E7">
              <w:rPr>
                <w:b/>
              </w:rPr>
              <w:t>Apklausoje dalyvavusių pacientų skaičius</w:t>
            </w:r>
          </w:p>
        </w:tc>
        <w:tc>
          <w:tcPr>
            <w:tcW w:w="2057" w:type="dxa"/>
            <w:vAlign w:val="center"/>
          </w:tcPr>
          <w:p w14:paraId="0B6FDB69" w14:textId="34B8F017" w:rsidR="00B74931" w:rsidRPr="003509E7" w:rsidRDefault="00B74931" w:rsidP="00FF37E5">
            <w:pPr>
              <w:pStyle w:val="Betarp"/>
              <w:jc w:val="center"/>
              <w:rPr>
                <w:b/>
              </w:rPr>
            </w:pPr>
            <w:r w:rsidRPr="003509E7">
              <w:rPr>
                <w:b/>
              </w:rPr>
              <w:t xml:space="preserve">Teigiamai </w:t>
            </w:r>
            <w:r>
              <w:rPr>
                <w:b/>
              </w:rPr>
              <w:t xml:space="preserve">* </w:t>
            </w:r>
            <w:r w:rsidRPr="003509E7">
              <w:rPr>
                <w:b/>
              </w:rPr>
              <w:t>paslaugas įvertinusių pacientų skaičius</w:t>
            </w:r>
          </w:p>
        </w:tc>
        <w:tc>
          <w:tcPr>
            <w:tcW w:w="1679" w:type="dxa"/>
            <w:vAlign w:val="center"/>
          </w:tcPr>
          <w:p w14:paraId="5D40FAB9" w14:textId="77777777" w:rsidR="00B74931" w:rsidRPr="003509E7" w:rsidRDefault="00B74931" w:rsidP="00FF37E5">
            <w:pPr>
              <w:pStyle w:val="Betarp"/>
              <w:jc w:val="center"/>
              <w:rPr>
                <w:b/>
              </w:rPr>
            </w:pPr>
            <w:r w:rsidRPr="003509E7">
              <w:rPr>
                <w:b/>
              </w:rPr>
              <w:t xml:space="preserve">Teigiamai </w:t>
            </w:r>
          </w:p>
          <w:p w14:paraId="20DF7229" w14:textId="77777777" w:rsidR="00B74931" w:rsidRPr="003509E7" w:rsidRDefault="00B74931" w:rsidP="00FF37E5">
            <w:pPr>
              <w:pStyle w:val="Betarp"/>
              <w:jc w:val="center"/>
              <w:rPr>
                <w:b/>
              </w:rPr>
            </w:pPr>
            <w:r w:rsidRPr="003509E7">
              <w:rPr>
                <w:b/>
              </w:rPr>
              <w:t>(7-10 balų) paslaugas įvertinusių pacientų dalis proc.</w:t>
            </w:r>
          </w:p>
        </w:tc>
      </w:tr>
      <w:tr w:rsidR="00B74931" w:rsidRPr="003509E7" w14:paraId="54788797" w14:textId="77777777" w:rsidTr="00FF37E5">
        <w:tc>
          <w:tcPr>
            <w:tcW w:w="605" w:type="dxa"/>
          </w:tcPr>
          <w:p w14:paraId="14EB222A" w14:textId="77777777" w:rsidR="00B74931" w:rsidRPr="003509E7" w:rsidRDefault="00B74931" w:rsidP="00FF37E5">
            <w:pPr>
              <w:pStyle w:val="Betarp"/>
              <w:jc w:val="center"/>
            </w:pPr>
            <w:r w:rsidRPr="003509E7">
              <w:t>1.</w:t>
            </w:r>
          </w:p>
        </w:tc>
        <w:tc>
          <w:tcPr>
            <w:tcW w:w="2659" w:type="dxa"/>
          </w:tcPr>
          <w:p w14:paraId="1B8A6852" w14:textId="77777777" w:rsidR="00B74931" w:rsidRPr="003509E7" w:rsidRDefault="00B74931" w:rsidP="00FF37E5">
            <w:pPr>
              <w:pStyle w:val="Betarp"/>
            </w:pPr>
            <w:r w:rsidRPr="003509E7">
              <w:t>Chirurgijos-Traumatologijos skyrius</w:t>
            </w:r>
          </w:p>
        </w:tc>
        <w:tc>
          <w:tcPr>
            <w:tcW w:w="1190" w:type="dxa"/>
          </w:tcPr>
          <w:p w14:paraId="27D0DB12" w14:textId="77777777" w:rsidR="00B74931" w:rsidRPr="003509E7" w:rsidRDefault="00B74931" w:rsidP="00FF37E5">
            <w:pPr>
              <w:pStyle w:val="Betarp"/>
              <w:jc w:val="center"/>
            </w:pPr>
            <w:r>
              <w:t>931</w:t>
            </w:r>
          </w:p>
        </w:tc>
        <w:tc>
          <w:tcPr>
            <w:tcW w:w="1444" w:type="dxa"/>
          </w:tcPr>
          <w:p w14:paraId="12710DBF" w14:textId="77777777" w:rsidR="00B74931" w:rsidRPr="003509E7" w:rsidRDefault="00B74931" w:rsidP="00FF37E5">
            <w:pPr>
              <w:pStyle w:val="Betarp"/>
              <w:jc w:val="center"/>
            </w:pPr>
            <w:r>
              <w:t>412</w:t>
            </w:r>
          </w:p>
        </w:tc>
        <w:tc>
          <w:tcPr>
            <w:tcW w:w="2057" w:type="dxa"/>
          </w:tcPr>
          <w:p w14:paraId="16290173" w14:textId="77777777" w:rsidR="00B74931" w:rsidRPr="003509E7" w:rsidRDefault="00B74931" w:rsidP="00FF37E5">
            <w:pPr>
              <w:pStyle w:val="Betarp"/>
              <w:jc w:val="center"/>
            </w:pPr>
            <w:r>
              <w:t>408</w:t>
            </w:r>
          </w:p>
        </w:tc>
        <w:tc>
          <w:tcPr>
            <w:tcW w:w="1679" w:type="dxa"/>
            <w:vAlign w:val="center"/>
          </w:tcPr>
          <w:p w14:paraId="3E2960EF" w14:textId="77777777" w:rsidR="00B74931" w:rsidRPr="003509E7" w:rsidRDefault="00B74931" w:rsidP="00FF37E5">
            <w:pPr>
              <w:pStyle w:val="Betarp"/>
              <w:jc w:val="center"/>
            </w:pPr>
            <w:r w:rsidRPr="003509E7">
              <w:t>99 proc.</w:t>
            </w:r>
          </w:p>
        </w:tc>
      </w:tr>
      <w:tr w:rsidR="00B74931" w:rsidRPr="003509E7" w14:paraId="041B5182" w14:textId="77777777" w:rsidTr="00FF37E5">
        <w:tc>
          <w:tcPr>
            <w:tcW w:w="605" w:type="dxa"/>
          </w:tcPr>
          <w:p w14:paraId="2EF692BC" w14:textId="77777777" w:rsidR="00B74931" w:rsidRPr="003509E7" w:rsidRDefault="00B74931" w:rsidP="00FF37E5">
            <w:pPr>
              <w:pStyle w:val="Betarp"/>
              <w:jc w:val="center"/>
            </w:pPr>
            <w:r w:rsidRPr="003509E7">
              <w:t>2.</w:t>
            </w:r>
          </w:p>
        </w:tc>
        <w:tc>
          <w:tcPr>
            <w:tcW w:w="2659" w:type="dxa"/>
          </w:tcPr>
          <w:p w14:paraId="4467F8D5" w14:textId="77777777" w:rsidR="00B74931" w:rsidRPr="003509E7" w:rsidRDefault="00B74931" w:rsidP="00FF37E5">
            <w:pPr>
              <w:pStyle w:val="Betarp"/>
            </w:pPr>
            <w:r w:rsidRPr="003509E7">
              <w:t>Vidaus ligų skyrius</w:t>
            </w:r>
          </w:p>
        </w:tc>
        <w:tc>
          <w:tcPr>
            <w:tcW w:w="1190" w:type="dxa"/>
          </w:tcPr>
          <w:p w14:paraId="63C1E89B" w14:textId="77777777" w:rsidR="00B74931" w:rsidRPr="003509E7" w:rsidRDefault="00B74931" w:rsidP="00FF37E5">
            <w:pPr>
              <w:pStyle w:val="Betarp"/>
              <w:jc w:val="center"/>
            </w:pPr>
            <w:r>
              <w:t>1253</w:t>
            </w:r>
          </w:p>
        </w:tc>
        <w:tc>
          <w:tcPr>
            <w:tcW w:w="1444" w:type="dxa"/>
          </w:tcPr>
          <w:p w14:paraId="21056B5C" w14:textId="77777777" w:rsidR="00B74931" w:rsidRPr="003509E7" w:rsidRDefault="00B74931" w:rsidP="00FF37E5">
            <w:pPr>
              <w:pStyle w:val="Betarp"/>
              <w:jc w:val="center"/>
            </w:pPr>
            <w:r>
              <w:t>58</w:t>
            </w:r>
          </w:p>
        </w:tc>
        <w:tc>
          <w:tcPr>
            <w:tcW w:w="2057" w:type="dxa"/>
          </w:tcPr>
          <w:p w14:paraId="67F47539" w14:textId="77777777" w:rsidR="00B74931" w:rsidRPr="003509E7" w:rsidRDefault="00B74931" w:rsidP="00FF37E5">
            <w:pPr>
              <w:pStyle w:val="Betarp"/>
              <w:jc w:val="center"/>
            </w:pPr>
            <w:r>
              <w:t>58</w:t>
            </w:r>
          </w:p>
        </w:tc>
        <w:tc>
          <w:tcPr>
            <w:tcW w:w="1679" w:type="dxa"/>
            <w:vAlign w:val="center"/>
          </w:tcPr>
          <w:p w14:paraId="2841EC84" w14:textId="77777777" w:rsidR="00B74931" w:rsidRPr="003509E7" w:rsidRDefault="00B74931" w:rsidP="00FF37E5">
            <w:pPr>
              <w:pStyle w:val="Betarp"/>
              <w:jc w:val="center"/>
            </w:pPr>
            <w:r>
              <w:t>100</w:t>
            </w:r>
            <w:r w:rsidRPr="003509E7">
              <w:t xml:space="preserve"> proc.</w:t>
            </w:r>
          </w:p>
        </w:tc>
      </w:tr>
      <w:tr w:rsidR="00B74931" w:rsidRPr="003509E7" w14:paraId="764D88E1" w14:textId="77777777" w:rsidTr="00FF37E5">
        <w:tc>
          <w:tcPr>
            <w:tcW w:w="605" w:type="dxa"/>
          </w:tcPr>
          <w:p w14:paraId="27129BA1" w14:textId="77777777" w:rsidR="00B74931" w:rsidRPr="003509E7" w:rsidRDefault="00B74931" w:rsidP="00FF37E5">
            <w:pPr>
              <w:pStyle w:val="Betarp"/>
              <w:jc w:val="center"/>
            </w:pPr>
            <w:r w:rsidRPr="003509E7">
              <w:t>3.</w:t>
            </w:r>
          </w:p>
        </w:tc>
        <w:tc>
          <w:tcPr>
            <w:tcW w:w="2659" w:type="dxa"/>
          </w:tcPr>
          <w:p w14:paraId="0FE93A32" w14:textId="77777777" w:rsidR="00B74931" w:rsidRPr="003509E7" w:rsidRDefault="00B74931" w:rsidP="00FF37E5">
            <w:pPr>
              <w:pStyle w:val="Betarp"/>
            </w:pPr>
            <w:r w:rsidRPr="003509E7">
              <w:t>Vaikų ligų skyrius</w:t>
            </w:r>
          </w:p>
        </w:tc>
        <w:tc>
          <w:tcPr>
            <w:tcW w:w="1190" w:type="dxa"/>
          </w:tcPr>
          <w:p w14:paraId="016A4751" w14:textId="77777777" w:rsidR="00B74931" w:rsidRPr="003509E7" w:rsidRDefault="00B74931" w:rsidP="00FF37E5">
            <w:pPr>
              <w:pStyle w:val="Betarp"/>
              <w:jc w:val="center"/>
            </w:pPr>
            <w:r>
              <w:t>619</w:t>
            </w:r>
          </w:p>
        </w:tc>
        <w:tc>
          <w:tcPr>
            <w:tcW w:w="1444" w:type="dxa"/>
          </w:tcPr>
          <w:p w14:paraId="653E95E9" w14:textId="77777777" w:rsidR="00B74931" w:rsidRPr="003509E7" w:rsidRDefault="00B74931" w:rsidP="00FF37E5">
            <w:pPr>
              <w:pStyle w:val="Betarp"/>
              <w:jc w:val="center"/>
            </w:pPr>
            <w:r>
              <w:t>123</w:t>
            </w:r>
          </w:p>
        </w:tc>
        <w:tc>
          <w:tcPr>
            <w:tcW w:w="2057" w:type="dxa"/>
          </w:tcPr>
          <w:p w14:paraId="2D0A0149" w14:textId="77777777" w:rsidR="00B74931" w:rsidRPr="003509E7" w:rsidRDefault="00B74931" w:rsidP="00FF37E5">
            <w:pPr>
              <w:pStyle w:val="Betarp"/>
              <w:jc w:val="center"/>
            </w:pPr>
            <w:r>
              <w:t>120</w:t>
            </w:r>
          </w:p>
        </w:tc>
        <w:tc>
          <w:tcPr>
            <w:tcW w:w="1679" w:type="dxa"/>
            <w:vAlign w:val="center"/>
          </w:tcPr>
          <w:p w14:paraId="73E01333" w14:textId="77777777" w:rsidR="00B74931" w:rsidRPr="003509E7" w:rsidRDefault="00B74931" w:rsidP="00FF37E5">
            <w:pPr>
              <w:pStyle w:val="Betarp"/>
              <w:jc w:val="center"/>
            </w:pPr>
            <w:r w:rsidRPr="003509E7">
              <w:t>9</w:t>
            </w:r>
            <w:r>
              <w:t>8</w:t>
            </w:r>
            <w:r w:rsidRPr="003509E7">
              <w:t xml:space="preserve"> proc.</w:t>
            </w:r>
          </w:p>
        </w:tc>
      </w:tr>
      <w:tr w:rsidR="00B74931" w:rsidRPr="003509E7" w14:paraId="2A83AD2A" w14:textId="77777777" w:rsidTr="00FF37E5">
        <w:tc>
          <w:tcPr>
            <w:tcW w:w="605" w:type="dxa"/>
            <w:vAlign w:val="center"/>
          </w:tcPr>
          <w:p w14:paraId="17891B99" w14:textId="77777777" w:rsidR="00B74931" w:rsidRPr="003509E7" w:rsidRDefault="00B74931" w:rsidP="00FF37E5">
            <w:pPr>
              <w:pStyle w:val="Betarp"/>
              <w:jc w:val="center"/>
            </w:pPr>
            <w:r w:rsidRPr="003509E7">
              <w:t>4.</w:t>
            </w:r>
          </w:p>
        </w:tc>
        <w:tc>
          <w:tcPr>
            <w:tcW w:w="2659" w:type="dxa"/>
          </w:tcPr>
          <w:p w14:paraId="01F479CD" w14:textId="77777777" w:rsidR="00B74931" w:rsidRPr="003509E7" w:rsidRDefault="00B74931" w:rsidP="00FF37E5">
            <w:pPr>
              <w:pStyle w:val="Betarp"/>
            </w:pPr>
            <w:r w:rsidRPr="003509E7">
              <w:t>Reanimacijos ir intensyvios terapijos skyrius</w:t>
            </w:r>
          </w:p>
        </w:tc>
        <w:tc>
          <w:tcPr>
            <w:tcW w:w="1190" w:type="dxa"/>
            <w:vAlign w:val="center"/>
          </w:tcPr>
          <w:p w14:paraId="1AF17050" w14:textId="77777777" w:rsidR="00B74931" w:rsidRPr="003509E7" w:rsidRDefault="00B74931" w:rsidP="00FF37E5">
            <w:pPr>
              <w:pStyle w:val="Betarp"/>
              <w:jc w:val="center"/>
            </w:pPr>
            <w:r>
              <w:t>111</w:t>
            </w:r>
          </w:p>
        </w:tc>
        <w:tc>
          <w:tcPr>
            <w:tcW w:w="1444" w:type="dxa"/>
            <w:vAlign w:val="center"/>
          </w:tcPr>
          <w:p w14:paraId="3B6E6171" w14:textId="77777777" w:rsidR="00B74931" w:rsidRPr="003509E7" w:rsidRDefault="00B74931" w:rsidP="00FF37E5">
            <w:pPr>
              <w:pStyle w:val="Betarp"/>
              <w:jc w:val="center"/>
            </w:pPr>
            <w:r>
              <w:t>14</w:t>
            </w:r>
          </w:p>
        </w:tc>
        <w:tc>
          <w:tcPr>
            <w:tcW w:w="2057" w:type="dxa"/>
            <w:vAlign w:val="center"/>
          </w:tcPr>
          <w:p w14:paraId="149CF542" w14:textId="77777777" w:rsidR="00B74931" w:rsidRPr="003509E7" w:rsidRDefault="00B74931" w:rsidP="00FF37E5">
            <w:pPr>
              <w:pStyle w:val="Betarp"/>
              <w:jc w:val="center"/>
            </w:pPr>
            <w:r>
              <w:t>14</w:t>
            </w:r>
          </w:p>
        </w:tc>
        <w:tc>
          <w:tcPr>
            <w:tcW w:w="1679" w:type="dxa"/>
            <w:vAlign w:val="center"/>
          </w:tcPr>
          <w:p w14:paraId="6479AA35" w14:textId="77777777" w:rsidR="00B74931" w:rsidRPr="003509E7" w:rsidRDefault="00B74931" w:rsidP="00FF37E5">
            <w:pPr>
              <w:pStyle w:val="Betarp"/>
              <w:jc w:val="center"/>
            </w:pPr>
            <w:r w:rsidRPr="003509E7">
              <w:t>100 proc.</w:t>
            </w:r>
          </w:p>
        </w:tc>
      </w:tr>
      <w:tr w:rsidR="00B74931" w:rsidRPr="003509E7" w14:paraId="517A4376" w14:textId="77777777" w:rsidTr="00FF37E5">
        <w:tc>
          <w:tcPr>
            <w:tcW w:w="605" w:type="dxa"/>
            <w:vAlign w:val="center"/>
          </w:tcPr>
          <w:p w14:paraId="1896EC0B" w14:textId="77777777" w:rsidR="00B74931" w:rsidRPr="003509E7" w:rsidRDefault="00B74931" w:rsidP="00FF37E5">
            <w:pPr>
              <w:pStyle w:val="Betarp"/>
              <w:jc w:val="center"/>
            </w:pPr>
            <w:r w:rsidRPr="003509E7">
              <w:t>5.</w:t>
            </w:r>
          </w:p>
        </w:tc>
        <w:tc>
          <w:tcPr>
            <w:tcW w:w="2659" w:type="dxa"/>
          </w:tcPr>
          <w:p w14:paraId="70EA15EB" w14:textId="77777777" w:rsidR="00B74931" w:rsidRPr="003509E7" w:rsidRDefault="00B74931" w:rsidP="00FF37E5">
            <w:pPr>
              <w:pStyle w:val="Betarp"/>
            </w:pPr>
            <w:r w:rsidRPr="003509E7">
              <w:t>Palaikomojo gydymo ir slaugos skyrius</w:t>
            </w:r>
          </w:p>
        </w:tc>
        <w:tc>
          <w:tcPr>
            <w:tcW w:w="1190" w:type="dxa"/>
            <w:vAlign w:val="center"/>
          </w:tcPr>
          <w:p w14:paraId="5F57D3DA" w14:textId="77777777" w:rsidR="00B74931" w:rsidRPr="003509E7" w:rsidRDefault="00B74931" w:rsidP="00FF37E5">
            <w:pPr>
              <w:pStyle w:val="Betarp"/>
              <w:jc w:val="center"/>
            </w:pPr>
            <w:r>
              <w:t>220</w:t>
            </w:r>
          </w:p>
        </w:tc>
        <w:tc>
          <w:tcPr>
            <w:tcW w:w="1444" w:type="dxa"/>
            <w:vAlign w:val="center"/>
          </w:tcPr>
          <w:p w14:paraId="47673939" w14:textId="77777777" w:rsidR="00B74931" w:rsidRPr="003509E7" w:rsidRDefault="00B74931" w:rsidP="00FF37E5">
            <w:pPr>
              <w:pStyle w:val="Betarp"/>
              <w:jc w:val="center"/>
            </w:pPr>
            <w:r>
              <w:t>103</w:t>
            </w:r>
          </w:p>
        </w:tc>
        <w:tc>
          <w:tcPr>
            <w:tcW w:w="2057" w:type="dxa"/>
            <w:vAlign w:val="center"/>
          </w:tcPr>
          <w:p w14:paraId="5E0B102E" w14:textId="77777777" w:rsidR="00B74931" w:rsidRPr="003509E7" w:rsidRDefault="00B74931" w:rsidP="00FF37E5">
            <w:pPr>
              <w:pStyle w:val="Betarp"/>
              <w:jc w:val="center"/>
            </w:pPr>
            <w:r>
              <w:t>102</w:t>
            </w:r>
          </w:p>
        </w:tc>
        <w:tc>
          <w:tcPr>
            <w:tcW w:w="1679" w:type="dxa"/>
            <w:vAlign w:val="center"/>
          </w:tcPr>
          <w:p w14:paraId="697891B2" w14:textId="77777777" w:rsidR="00B74931" w:rsidRPr="003509E7" w:rsidRDefault="00B74931" w:rsidP="00FF37E5">
            <w:pPr>
              <w:pStyle w:val="Betarp"/>
              <w:jc w:val="center"/>
            </w:pPr>
            <w:r w:rsidRPr="003509E7">
              <w:t>99 proc.</w:t>
            </w:r>
          </w:p>
        </w:tc>
      </w:tr>
      <w:tr w:rsidR="00B74931" w:rsidRPr="003509E7" w14:paraId="1C66169D" w14:textId="77777777" w:rsidTr="00FF37E5">
        <w:tc>
          <w:tcPr>
            <w:tcW w:w="605" w:type="dxa"/>
          </w:tcPr>
          <w:p w14:paraId="5A7AF1FD" w14:textId="77777777" w:rsidR="00B74931" w:rsidRPr="003509E7" w:rsidRDefault="00B74931" w:rsidP="00FF37E5">
            <w:pPr>
              <w:pStyle w:val="Betarp"/>
              <w:jc w:val="center"/>
              <w:rPr>
                <w:b/>
              </w:rPr>
            </w:pPr>
            <w:r w:rsidRPr="003509E7">
              <w:rPr>
                <w:b/>
              </w:rPr>
              <w:t>6.</w:t>
            </w:r>
          </w:p>
        </w:tc>
        <w:tc>
          <w:tcPr>
            <w:tcW w:w="2659" w:type="dxa"/>
          </w:tcPr>
          <w:p w14:paraId="39A254DF" w14:textId="77777777" w:rsidR="00B74931" w:rsidRPr="003509E7" w:rsidRDefault="00B74931" w:rsidP="00FF37E5">
            <w:pPr>
              <w:pStyle w:val="Betarp"/>
              <w:rPr>
                <w:b/>
              </w:rPr>
            </w:pPr>
            <w:r w:rsidRPr="003509E7">
              <w:rPr>
                <w:b/>
              </w:rPr>
              <w:t>IŠ VISO</w:t>
            </w:r>
          </w:p>
        </w:tc>
        <w:tc>
          <w:tcPr>
            <w:tcW w:w="1190" w:type="dxa"/>
          </w:tcPr>
          <w:p w14:paraId="239EC050" w14:textId="77777777" w:rsidR="00B74931" w:rsidRPr="003509E7" w:rsidRDefault="00B74931" w:rsidP="00FF37E5">
            <w:pPr>
              <w:pStyle w:val="Betarp"/>
              <w:jc w:val="center"/>
              <w:rPr>
                <w:b/>
              </w:rPr>
            </w:pPr>
            <w:r>
              <w:rPr>
                <w:b/>
              </w:rPr>
              <w:t>3134</w:t>
            </w:r>
          </w:p>
        </w:tc>
        <w:tc>
          <w:tcPr>
            <w:tcW w:w="1444" w:type="dxa"/>
          </w:tcPr>
          <w:p w14:paraId="1C44739D" w14:textId="77777777" w:rsidR="00B74931" w:rsidRPr="003509E7" w:rsidRDefault="00B74931" w:rsidP="00FF37E5">
            <w:pPr>
              <w:pStyle w:val="Betarp"/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2057" w:type="dxa"/>
          </w:tcPr>
          <w:p w14:paraId="09140A82" w14:textId="77777777" w:rsidR="00B74931" w:rsidRPr="003509E7" w:rsidRDefault="00B74931" w:rsidP="00FF37E5">
            <w:pPr>
              <w:pStyle w:val="Betarp"/>
              <w:jc w:val="center"/>
              <w:rPr>
                <w:b/>
              </w:rPr>
            </w:pPr>
            <w:r>
              <w:rPr>
                <w:b/>
              </w:rPr>
              <w:t>702</w:t>
            </w:r>
          </w:p>
        </w:tc>
        <w:tc>
          <w:tcPr>
            <w:tcW w:w="1679" w:type="dxa"/>
          </w:tcPr>
          <w:p w14:paraId="60E3C0BE" w14:textId="77777777" w:rsidR="00B74931" w:rsidRPr="003509E7" w:rsidRDefault="00B74931" w:rsidP="00FF37E5">
            <w:pPr>
              <w:pStyle w:val="Betarp"/>
              <w:jc w:val="center"/>
              <w:rPr>
                <w:b/>
              </w:rPr>
            </w:pPr>
            <w:r w:rsidRPr="003509E7">
              <w:rPr>
                <w:b/>
              </w:rPr>
              <w:t>99 proc.</w:t>
            </w:r>
          </w:p>
        </w:tc>
      </w:tr>
    </w:tbl>
    <w:p w14:paraId="69CE3622" w14:textId="35DF80FE" w:rsidR="00B74931" w:rsidRDefault="00B74931"/>
    <w:p w14:paraId="04DBC58F" w14:textId="41D21C83" w:rsidR="00B74931" w:rsidRPr="00B74931" w:rsidRDefault="00B74931" w:rsidP="00B74931">
      <w:pPr>
        <w:pStyle w:val="Betarp"/>
        <w:tabs>
          <w:tab w:val="left" w:pos="851"/>
        </w:tabs>
        <w:jc w:val="both"/>
        <w:rPr>
          <w:bCs/>
          <w:shd w:val="clear" w:color="auto" w:fill="FFFFFF"/>
        </w:rPr>
      </w:pPr>
      <w:r>
        <w:t xml:space="preserve">* </w:t>
      </w:r>
      <w:r w:rsidRPr="003509E7">
        <w:t>Vadovaujantis Lietuvos Respublikos sveikatos apsaugos ministro 2017 m. gruodžio 20 d. įsakymu Nr. V-1474 „</w:t>
      </w:r>
      <w:r w:rsidRPr="003509E7">
        <w:rPr>
          <w:bCs/>
          <w:shd w:val="clear" w:color="auto" w:fill="FFFFFF"/>
        </w:rPr>
        <w:t>Dėl Lietuvos Respublikos sveikatos apsaugos ministro 2012 m. lapkričio 29 d. įsakymo Nr. V-1073 „Dėl asmens sveikatos priežiūros įstaigų, teikiančių stacionarines asmens sveikatos priežiūros paslaugas, vertinimo rodiklių sąrašų patvirtinimo“ pakeitimo“</w:t>
      </w:r>
      <w:r>
        <w:rPr>
          <w:bCs/>
          <w:shd w:val="clear" w:color="auto" w:fill="FFFFFF"/>
        </w:rPr>
        <w:t xml:space="preserve"> (suvestinė redakcija nuo 2019-12-07)</w:t>
      </w:r>
      <w:r w:rsidRPr="003509E7">
        <w:rPr>
          <w:bCs/>
          <w:shd w:val="clear" w:color="auto" w:fill="FFFFFF"/>
        </w:rPr>
        <w:t xml:space="preserve"> </w:t>
      </w:r>
      <w:r w:rsidRPr="00B74931">
        <w:t>„</w:t>
      </w:r>
      <w:r>
        <w:t>T</w:t>
      </w:r>
      <w:r>
        <w:rPr>
          <w:color w:val="000000"/>
        </w:rPr>
        <w:t>eigiamai įvertintos anketos – tai anketos, kuriose pacientų bendras pasitenkinimas ASPĮ teikiamomis asmens sveikatos priežiūros paslaugomis vertinamas 7–10</w:t>
      </w:r>
      <w:r w:rsidRPr="00B74931">
        <w:rPr>
          <w:bCs/>
          <w:shd w:val="clear" w:color="auto" w:fill="FFFFFF"/>
        </w:rPr>
        <w:t>“.</w:t>
      </w:r>
    </w:p>
    <w:p w14:paraId="5A64538F" w14:textId="77777777" w:rsidR="00B74931" w:rsidRDefault="00B74931"/>
    <w:sectPr w:rsidR="00B7493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013C"/>
    <w:multiLevelType w:val="multilevel"/>
    <w:tmpl w:val="D7D0DEEA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31"/>
    <w:rsid w:val="00493894"/>
    <w:rsid w:val="00B7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2C47"/>
  <w15:chartTrackingRefBased/>
  <w15:docId w15:val="{E67ABBB2-9EA0-45E4-B676-A82F42CC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74931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749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B7493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Grenoveckienė</dc:creator>
  <cp:keywords/>
  <dc:description/>
  <cp:lastModifiedBy>Dovilė Grenoveckienė</cp:lastModifiedBy>
  <cp:revision>2</cp:revision>
  <dcterms:created xsi:type="dcterms:W3CDTF">2022-03-21T13:59:00Z</dcterms:created>
  <dcterms:modified xsi:type="dcterms:W3CDTF">2022-03-21T13:59:00Z</dcterms:modified>
</cp:coreProperties>
</file>